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30" w:rsidRPr="002C1C30" w:rsidRDefault="00A42D72" w:rsidP="002C1C30">
      <w:pPr>
        <w:pStyle w:val="a7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15pt;margin-top:-3.4pt;width:31.45pt;height:45.35pt;z-index:251660288;visibility:visible;mso-wrap-edited:f">
            <v:imagedata r:id="rId7" o:title=""/>
            <w10:wrap type="topAndBottom"/>
          </v:shape>
          <o:OLEObject Type="Embed" ProgID="Word.Picture.8" ShapeID="_x0000_s1026" DrawAspect="Content" ObjectID="_1781522753" r:id="rId8"/>
        </w:pict>
      </w:r>
      <w:r w:rsidR="002C1C30" w:rsidRPr="002C1C30">
        <w:t>УПРАВЛЕНИЕ СОЦИАЛЬНОЙ ЗАЩИТЫ НАСЕЛЕНИЯ</w:t>
      </w:r>
    </w:p>
    <w:p w:rsidR="002C1C30" w:rsidRPr="002C1C30" w:rsidRDefault="002C1C30" w:rsidP="002C1C30">
      <w:pPr>
        <w:pStyle w:val="3"/>
      </w:pPr>
      <w:r w:rsidRPr="002C1C30">
        <w:t xml:space="preserve">Агаповского Муниципального района </w:t>
      </w:r>
    </w:p>
    <w:p w:rsidR="002C1C30" w:rsidRDefault="001226CD" w:rsidP="002C1C30">
      <w:pPr>
        <w:tabs>
          <w:tab w:val="center" w:pos="4961"/>
          <w:tab w:val="left" w:pos="5325"/>
        </w:tabs>
        <w:spacing w:after="0" w:line="240" w:lineRule="auto"/>
        <w:rPr>
          <w:rFonts w:ascii="Times New Roman" w:hAnsi="Times New Roman"/>
          <w:i/>
          <w:spacing w:val="4"/>
          <w:sz w:val="18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Ip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" strokeweight="2.25pt"/>
            </w:pict>
          </mc:Fallback>
        </mc:AlternateContent>
      </w:r>
      <w:r w:rsidR="002C1C30" w:rsidRPr="002C1C30">
        <w:rPr>
          <w:rFonts w:ascii="Times New Roman" w:hAnsi="Times New Roman"/>
          <w:i/>
          <w:spacing w:val="4"/>
          <w:sz w:val="18"/>
        </w:rPr>
        <w:tab/>
      </w:r>
    </w:p>
    <w:p w:rsidR="002C1C30" w:rsidRPr="002C1C30" w:rsidRDefault="002C1C30" w:rsidP="002C1C30">
      <w:pPr>
        <w:tabs>
          <w:tab w:val="center" w:pos="4961"/>
          <w:tab w:val="left" w:pos="5325"/>
        </w:tabs>
        <w:spacing w:after="0" w:line="240" w:lineRule="auto"/>
        <w:jc w:val="center"/>
        <w:rPr>
          <w:rFonts w:ascii="Times New Roman" w:hAnsi="Times New Roman"/>
          <w:i/>
          <w:spacing w:val="4"/>
          <w:sz w:val="18"/>
        </w:rPr>
      </w:pPr>
      <w:r w:rsidRPr="002C1C30">
        <w:rPr>
          <w:rFonts w:ascii="Times New Roman" w:hAnsi="Times New Roman"/>
          <w:i/>
          <w:spacing w:val="4"/>
        </w:rPr>
        <w:t>ул. Рабочая, 34, с. Агаповка, Челябинская обл., 457400</w:t>
      </w:r>
    </w:p>
    <w:p w:rsidR="002C1C30" w:rsidRPr="002C1C30" w:rsidRDefault="002C1C30" w:rsidP="002C1C30">
      <w:pPr>
        <w:spacing w:after="0" w:line="240" w:lineRule="auto"/>
        <w:jc w:val="center"/>
        <w:rPr>
          <w:rFonts w:ascii="Times New Roman" w:hAnsi="Times New Roman"/>
          <w:i/>
          <w:spacing w:val="4"/>
        </w:rPr>
      </w:pPr>
      <w:r w:rsidRPr="002C1C30">
        <w:rPr>
          <w:rFonts w:ascii="Times New Roman" w:hAnsi="Times New Roman"/>
          <w:i/>
          <w:spacing w:val="4"/>
        </w:rPr>
        <w:t>телефон (8-35140) 2-16-21, 2-04-50, факс (8-351-40) 2-04-50</w:t>
      </w:r>
    </w:p>
    <w:p w:rsidR="002D5CDA" w:rsidRDefault="002D5CDA" w:rsidP="002D5C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8EE" w:rsidRDefault="006478EE" w:rsidP="006478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 </w:t>
      </w:r>
      <w:r w:rsidR="002D5CDA">
        <w:rPr>
          <w:rFonts w:ascii="Times New Roman" w:hAnsi="Times New Roman"/>
          <w:b/>
          <w:sz w:val="24"/>
          <w:szCs w:val="24"/>
        </w:rPr>
        <w:t xml:space="preserve"> </w:t>
      </w:r>
      <w:r w:rsidR="002D5CDA" w:rsidRPr="00D26BC7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проделанной работе на основании</w:t>
      </w:r>
      <w:r w:rsidR="002D5CDA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а</w:t>
      </w:r>
      <w:r w:rsidR="002D5CDA">
        <w:rPr>
          <w:rFonts w:ascii="Times New Roman" w:hAnsi="Times New Roman"/>
          <w:b/>
          <w:sz w:val="24"/>
          <w:szCs w:val="24"/>
        </w:rPr>
        <w:t xml:space="preserve"> </w:t>
      </w:r>
      <w:r w:rsidR="002D5CDA" w:rsidRPr="00D26BC7">
        <w:rPr>
          <w:rFonts w:ascii="Times New Roman" w:hAnsi="Times New Roman"/>
          <w:b/>
          <w:sz w:val="24"/>
          <w:szCs w:val="24"/>
        </w:rPr>
        <w:t xml:space="preserve"> </w:t>
      </w:r>
      <w:r w:rsidR="002D5CDA">
        <w:rPr>
          <w:rFonts w:ascii="Times New Roman" w:hAnsi="Times New Roman"/>
          <w:b/>
          <w:sz w:val="24"/>
          <w:szCs w:val="24"/>
        </w:rPr>
        <w:t>противодействи</w:t>
      </w:r>
      <w:r>
        <w:rPr>
          <w:rFonts w:ascii="Times New Roman" w:hAnsi="Times New Roman"/>
          <w:b/>
          <w:sz w:val="24"/>
          <w:szCs w:val="24"/>
        </w:rPr>
        <w:t>ю</w:t>
      </w:r>
      <w:r w:rsidR="002D5CDA">
        <w:rPr>
          <w:rFonts w:ascii="Times New Roman" w:hAnsi="Times New Roman"/>
          <w:b/>
          <w:sz w:val="24"/>
          <w:szCs w:val="24"/>
        </w:rPr>
        <w:t xml:space="preserve"> коррупции </w:t>
      </w:r>
    </w:p>
    <w:p w:rsidR="006478EE" w:rsidRDefault="002D5CDA" w:rsidP="006478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6BC7">
        <w:rPr>
          <w:rFonts w:ascii="Times New Roman" w:hAnsi="Times New Roman"/>
          <w:b/>
          <w:sz w:val="24"/>
          <w:szCs w:val="24"/>
        </w:rPr>
        <w:t>в Управлении социальной защиты населения Ага</w:t>
      </w:r>
      <w:r w:rsidR="00B84DA3">
        <w:rPr>
          <w:rFonts w:ascii="Times New Roman" w:hAnsi="Times New Roman"/>
          <w:b/>
          <w:sz w:val="24"/>
          <w:szCs w:val="24"/>
        </w:rPr>
        <w:t xml:space="preserve">повского муниципального района </w:t>
      </w:r>
    </w:p>
    <w:p w:rsidR="006478EE" w:rsidRPr="006478EE" w:rsidRDefault="006478EE" w:rsidP="006478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2023 год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2893"/>
        <w:gridCol w:w="6061"/>
      </w:tblGrid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BC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6B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6BC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BC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BC7">
              <w:rPr>
                <w:rFonts w:ascii="Times New Roman" w:hAnsi="Times New Roman"/>
                <w:b/>
                <w:sz w:val="24"/>
                <w:szCs w:val="24"/>
              </w:rPr>
              <w:t>Результаты исполнения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Соблюдение положений Кодекса этики и служебного поведения работников органов УСЗН  социальной защиты населения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Все муниципальные служащие Управления социальной защиты населения Агаповского муниципального района ознакомлены под подпись с Кодексом этики служебного поведения органов УСЗН. При приёме на муниципальную службу в УСЗН с гражданами, претендующими на замещение должностей муниципальной службы в УСЗН ведущим специалистом – юристом в обязательном порядке проводится разъяснительная беседа по положениям Кодекса и ознакомлением под подпись. 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Соблюдение Положения УСЗН «О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Все муниципальные служащие Управления социальной защиты населения Агаповского муниципального района ознакомлены под подпись с Положения УСЗН «О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о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супруга (супруги) и несовершеннолетних детей в Администрацию Агаповского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Челябинской области   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приказом начальника УСЗН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-ОД «Об организации разъяснительной работы по предоставлению сведений о доходах, расходах, имуществе и обязательствах имущественного характера 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год муниципальными служащими, замещающих коррупционно – опасные должности в УСЗН Агаповского муниципального района и руководителями подведомственных муниципальных бюджетных учреждений, в отношении которых УСЗН Агаповского муниципального района выполняет функции и полномочия учредителя»  муниципальные служащие ознакомлены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под подпись  с рекомендациями  Минтруда России по вопросам представления сведений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>о доходах, расходах, об имуществе и обязательствах имущественного характера и заполнения соответствующей формы справки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году (за отчётный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г.). В УСЗН постоянно проводится разъяснительная работа по данному направлению. 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Агаповского муниципального района Челябинской области от 03.02.2016г. №64 «Об утверждении перечня должностей муниципальной службы,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 а также сведениях о доходах, об имуществе и обязательствах имущественного характера своих супруги (супруга) и несовершеннолетних детей»  в УСЗН обязаны были предоставить справки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9 муниципальных служащих.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В установленный законодательством срок все муниципальные служащие УСЗН 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предоставили справки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год на себя, а так же на своих супруги (супруга) и несовершеннолетних детей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справ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УСЗН подведомственны два учреждения: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социального обслуживания Центр помощи детям, оставшимся без попечения родителей, Агаповского муниципального района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- Муниципальное учреждение  «Комплексный центр социального обслуживания населения» Агаповского муниципального района Челябинской области     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На отчётную дату все руководители учреждений так же 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предоставили справку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за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год на себя, а так же на своих супруги (супруга) и несовершеннолетних детей – 8 справок.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Направление запросов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не проводил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сь провер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к достоверности и полноты сведений, о доходах, об имуществе и обязательствах имущественного характера, представляемые гражданами, претендующих на муниципальную должность в УСЗН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Организация заседаний комиссии по реализации антикоррупционной политики в УСЗН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реализации статьи 13.3 Федерального закона от 25.12.2008г. №273 «О противодействии коррупции» ведущим специалистом – юристом ежеквартально проводятся беседы с муниципальными служащими УСЗН, направленные на формирование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служащих УСЗН негативного отношения к дарению подарков в связи с их должностным положением 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проверок по обращениям граждан на предмет выявления фактов злоупотребления служебными полномочиями муниципальными служащими УСЗН 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CD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в УСЗН не поступало обращений граждан о фактах злоупотребления служебными полномочиями муниципальными служащими УСЗН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Обеспечение защиты персональных данных работников УСЗН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Защита персональных данных в УСЗН ведётся  постоянно на основании приказа начальника УСЗН от 14 ноября 2014 г. №64 – ОД «О работе с персональными данными работников Управления социальной защиты населения Агаповского муниципального района». Так же УСЗН утверждено Положение об обработке персональных данных работников Управления социальной защиты населения Агаповского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района, утверждённое приказом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начальника УСЗН от 14 ноября 2014 г. №64 – ОД. Приказом начальника УСЗН от 17.08.2020г. №67-ОД </w:t>
            </w:r>
            <w:r w:rsidRPr="00587BB4">
              <w:rPr>
                <w:rFonts w:ascii="Times New Roman" w:hAnsi="Times New Roman"/>
                <w:sz w:val="24"/>
                <w:szCs w:val="24"/>
              </w:rPr>
              <w:t xml:space="preserve">утверждена Политика обработки персональных данных в УСЗН, все работники ознакомлены под роспись. В УСЗН имеется Положения об обработке персональных данных в Управлении социальной защиты населения Агаповского муниципального района, </w:t>
            </w:r>
            <w:proofErr w:type="gramStart"/>
            <w:r w:rsidRPr="00587BB4">
              <w:rPr>
                <w:rFonts w:ascii="Times New Roman" w:hAnsi="Times New Roman"/>
                <w:sz w:val="24"/>
                <w:szCs w:val="24"/>
              </w:rPr>
              <w:t>утвержденное</w:t>
            </w:r>
            <w:proofErr w:type="gramEnd"/>
            <w:r w:rsidRPr="00587BB4">
              <w:rPr>
                <w:rFonts w:ascii="Times New Roman" w:hAnsi="Times New Roman"/>
                <w:sz w:val="24"/>
                <w:szCs w:val="24"/>
              </w:rPr>
              <w:t xml:space="preserve"> приказом начальника УСЗН от 13.08.2018г. №67-ОД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Соблюдение работниками УСЗН общепризнанных этических норм при исполнении трудовых обязанностей 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Начальниками отделов проводится постоянный 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соблюдением работниками УСЗН общепризнанных этических норм при исполнении трудовых обязанностей.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Обновление стенда по 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На информационных стендах в УСЗН размещается общая информация об УСЗН, ФИО начальника, телефоны отделов УСН, перечень законодательных актов, перечень государственных услуг. Обновление стендов в УСЗН производится по мере поступления актуальной информации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Исключение конфликта интересов, при котором личная заинтересованность влияет или может повлиять на надлежащее исполнение трудовых обязанностей и при которой возникает или может возникнуть  противоречие между личной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заинтересованностью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  </w:t>
            </w:r>
            <w:proofErr w:type="gramEnd"/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Постоянный контроль ведётся со стороны начальников отделов и ведущего специалиста – юриста УСЗН 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Приказом начальника УСЗН №31-ОД от 16.06.2021г. назначены ответственные за осуществление контроля деятельности специалистов, осуществляющих назначение и выплату пособий (иных мер социальной поддержки), в том числе 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внесением в Единую информационную систему достоверных сведений о доходах граждан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УСЗН информации об антикоррупционной политике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На официальном интернет-сайте  Управления социальной защиты населения Агаповского муниципального района – </w:t>
            </w:r>
            <w:hyperlink r:id="rId9" w:history="1"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proofErr w:type="spellEnd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01.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eps</w:t>
              </w:r>
              <w:proofErr w:type="spellEnd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74.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26BC7">
              <w:rPr>
                <w:rFonts w:ascii="Times New Roman" w:hAnsi="Times New Roman"/>
                <w:sz w:val="24"/>
                <w:szCs w:val="24"/>
              </w:rPr>
              <w:t xml:space="preserve"> размещён раздел  «Деятельность» «Противодействие коррупции» с входящим в него подразделами: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- Нормативные правовые и иные акты в сфере противодействия коррупции;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- Комиссии по урегулированию конфликта интересов на муниципальной службе в Управлении социальной защиты населения Агаповского муниципального района;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- Работа с обращениями и заявлениями граждан;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- Сведения о доходах.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Информационное наполнение сайта УСЗН по порядку и условиям предоставления государственных услуг гражданам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 Управления социальной защиты населения Агаповского муниципального района – </w:t>
            </w:r>
            <w:hyperlink r:id="rId10" w:history="1"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proofErr w:type="spellEnd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01.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eps</w:t>
              </w:r>
              <w:proofErr w:type="spellEnd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74.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26BC7">
              <w:rPr>
                <w:rFonts w:ascii="Times New Roman" w:hAnsi="Times New Roman"/>
                <w:sz w:val="24"/>
                <w:szCs w:val="24"/>
              </w:rPr>
              <w:t xml:space="preserve"> размещены все административные регламенты по исполнению государственных услуг, в разделе «Законодательство» - «Административные регламенты».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Все подразделы находятся в актуальном состоянии.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Обеспечение доступа граждан к информации о деятельности УСН и учреждений социальной защиты населения Агаповского муниципального района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В целях информирования граждан на официальном сайте  Управления социальной защиты населения Агаповского муниципального района – </w:t>
            </w:r>
            <w:hyperlink r:id="rId11" w:history="1"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proofErr w:type="spellEnd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01.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eps</w:t>
              </w:r>
              <w:proofErr w:type="spellEnd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</w:rPr>
                <w:t>74.</w:t>
              </w:r>
              <w:proofErr w:type="spellStart"/>
              <w:r w:rsidRPr="00D26BC7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26BC7">
              <w:rPr>
                <w:rFonts w:ascii="Times New Roman" w:hAnsi="Times New Roman"/>
                <w:sz w:val="24"/>
                <w:szCs w:val="24"/>
              </w:rPr>
              <w:t xml:space="preserve"> размещена вся необходимая информация о деятельности УСЗН и подведомственных учреждений. Официальный сайт УСЗН работает в бесперебойном режиме.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Прозрачность оказания услуг гражданам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Специалистами Управления проводится регулярная  информационная работа о способах и перечне предоставляемых государственных услуг и преимуществе подачи заявлений через Единый портал государственных услуг. </w:t>
            </w:r>
          </w:p>
        </w:tc>
      </w:tr>
      <w:tr w:rsidR="006478EE" w:rsidRPr="00D26BC7" w:rsidTr="00254970">
        <w:tc>
          <w:tcPr>
            <w:tcW w:w="617" w:type="dxa"/>
          </w:tcPr>
          <w:p w:rsidR="006478EE" w:rsidRPr="00D26BC7" w:rsidRDefault="006478EE" w:rsidP="0025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93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 Федерального закона от 05.04.2013г. №44 – ФЗ «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061" w:type="dxa"/>
          </w:tcPr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>Деятельность в сфере государственных закупок в УСЗН осуществляется в соответствии с положениями Федерального закона от 05.04.2013г. №44-ФЗ «</w:t>
            </w:r>
            <w:proofErr w:type="gramStart"/>
            <w:r w:rsidRPr="00D26BC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26BC7"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нужд».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BC7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условий, процедур и механизмов государственных закупок в УСЗН приказом начальника УСЗН от 09.04.2018г. №18 – ОД назначен Контрактный управляющий УСЗН ведущий специалист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 (Кузнецова Т.В.). Так же в УСЗН приказом начальника УСЗН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7.2022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-ОД утверждена конкурсная (аукционная, котировочная) комиссия.</w:t>
            </w:r>
          </w:p>
          <w:p w:rsidR="006478EE" w:rsidRPr="00D26BC7" w:rsidRDefault="006478EE" w:rsidP="00254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начальника УСЗН от 25.03.2022г. №19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-ОД назначены ответственные лица за профилактику коррупционных правонарушений при осуществлении закупок в УСЗН (Кузнецова Т.В., </w:t>
            </w:r>
            <w:r>
              <w:rPr>
                <w:rFonts w:ascii="Times New Roman" w:hAnsi="Times New Roman"/>
                <w:sz w:val="24"/>
                <w:szCs w:val="24"/>
              </w:rPr>
              <w:t>Ладванова Л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78EE" w:rsidRPr="00D26BC7" w:rsidRDefault="006478EE" w:rsidP="00122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>202</w:t>
            </w:r>
            <w:r w:rsidR="001226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было заключено </w:t>
            </w:r>
            <w:r w:rsidR="001226CD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государственных контрактов (договоров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) в сфере осуществления закупок товаров, работ, услуг для обеспечения государственных и муниципальных нужд.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1226CD">
              <w:rPr>
                <w:rFonts w:ascii="Times New Roman" w:hAnsi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совместные закупки (аукцион</w:t>
            </w:r>
            <w:r w:rsidR="001226C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="001226CD">
              <w:rPr>
                <w:rFonts w:ascii="Times New Roman" w:hAnsi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аукцион.  </w:t>
            </w:r>
            <w:r w:rsidRPr="00D26B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6478EE" w:rsidRDefault="006478EE" w:rsidP="006478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5CDA" w:rsidRDefault="002D5CDA" w:rsidP="002D5C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5CDA" w:rsidRDefault="002D5CDA" w:rsidP="002D5CDA">
      <w:pPr>
        <w:rPr>
          <w:rFonts w:ascii="Times New Roman" w:hAnsi="Times New Roman"/>
          <w:sz w:val="24"/>
          <w:szCs w:val="24"/>
        </w:rPr>
      </w:pPr>
    </w:p>
    <w:p w:rsidR="002D5CDA" w:rsidRPr="00D26BC7" w:rsidRDefault="002D5CDA" w:rsidP="002D5CDA">
      <w:pPr>
        <w:rPr>
          <w:rFonts w:ascii="Times New Roman" w:hAnsi="Times New Roman"/>
          <w:sz w:val="24"/>
          <w:szCs w:val="24"/>
        </w:rPr>
      </w:pPr>
    </w:p>
    <w:p w:rsidR="002D5CDA" w:rsidRPr="00D26BC7" w:rsidRDefault="002D5CDA" w:rsidP="002D5C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BC7">
        <w:rPr>
          <w:rFonts w:ascii="Times New Roman" w:hAnsi="Times New Roman"/>
          <w:sz w:val="24"/>
          <w:szCs w:val="24"/>
        </w:rPr>
        <w:t>Начальник УСЗН</w:t>
      </w:r>
    </w:p>
    <w:p w:rsidR="002D5CDA" w:rsidRPr="00D26BC7" w:rsidRDefault="002D5CDA" w:rsidP="002D5CDA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D26BC7">
        <w:rPr>
          <w:rFonts w:ascii="Times New Roman" w:hAnsi="Times New Roman"/>
          <w:sz w:val="24"/>
          <w:szCs w:val="24"/>
        </w:rPr>
        <w:t>Агаповского муниципального района                                                      Н. Н. Евтух</w:t>
      </w:r>
    </w:p>
    <w:p w:rsidR="002D5CDA" w:rsidRDefault="002D5CDA" w:rsidP="002D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CDA" w:rsidRPr="00D26BC7" w:rsidRDefault="002D5CDA" w:rsidP="002D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CDA" w:rsidRPr="00D26BC7" w:rsidRDefault="002D5CDA" w:rsidP="002D5C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BC7">
        <w:rPr>
          <w:rFonts w:ascii="Times New Roman" w:hAnsi="Times New Roman"/>
          <w:sz w:val="24"/>
          <w:szCs w:val="24"/>
        </w:rPr>
        <w:t>«</w:t>
      </w:r>
      <w:r w:rsidR="001226CD">
        <w:rPr>
          <w:rFonts w:ascii="Times New Roman" w:hAnsi="Times New Roman"/>
          <w:sz w:val="24"/>
          <w:szCs w:val="24"/>
        </w:rPr>
        <w:t>29</w:t>
      </w:r>
      <w:r w:rsidRPr="00D26BC7">
        <w:rPr>
          <w:rFonts w:ascii="Times New Roman" w:hAnsi="Times New Roman"/>
          <w:sz w:val="24"/>
          <w:szCs w:val="24"/>
        </w:rPr>
        <w:t xml:space="preserve">» </w:t>
      </w:r>
      <w:r w:rsidR="00810144">
        <w:rPr>
          <w:rFonts w:ascii="Times New Roman" w:hAnsi="Times New Roman"/>
          <w:sz w:val="24"/>
          <w:szCs w:val="24"/>
        </w:rPr>
        <w:t xml:space="preserve">декабря </w:t>
      </w:r>
      <w:r w:rsidR="005D0D2D">
        <w:rPr>
          <w:rFonts w:ascii="Times New Roman" w:hAnsi="Times New Roman"/>
          <w:sz w:val="24"/>
          <w:szCs w:val="24"/>
        </w:rPr>
        <w:t xml:space="preserve"> </w:t>
      </w:r>
      <w:r w:rsidRPr="00D26BC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26BC7">
        <w:rPr>
          <w:rFonts w:ascii="Times New Roman" w:hAnsi="Times New Roman"/>
          <w:sz w:val="24"/>
          <w:szCs w:val="24"/>
        </w:rPr>
        <w:t>года</w:t>
      </w:r>
    </w:p>
    <w:p w:rsidR="002D5CDA" w:rsidRPr="00D26BC7" w:rsidRDefault="002D5CDA" w:rsidP="002D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CDA" w:rsidRPr="00D26BC7" w:rsidRDefault="002D5CDA" w:rsidP="002D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CDA" w:rsidRPr="00133BD8" w:rsidRDefault="002D5CDA" w:rsidP="00133BD8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sectPr w:rsidR="002D5CDA" w:rsidRPr="00133BD8" w:rsidSect="00B80585">
      <w:headerReference w:type="default" r:id="rId12"/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72" w:rsidRDefault="00A42D72" w:rsidP="004074F0">
      <w:pPr>
        <w:spacing w:after="0" w:line="240" w:lineRule="auto"/>
      </w:pPr>
      <w:r>
        <w:separator/>
      </w:r>
    </w:p>
  </w:endnote>
  <w:endnote w:type="continuationSeparator" w:id="0">
    <w:p w:rsidR="00A42D72" w:rsidRDefault="00A42D72" w:rsidP="004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72" w:rsidRDefault="00A42D72" w:rsidP="004074F0">
      <w:pPr>
        <w:spacing w:after="0" w:line="240" w:lineRule="auto"/>
      </w:pPr>
      <w:r>
        <w:separator/>
      </w:r>
    </w:p>
  </w:footnote>
  <w:footnote w:type="continuationSeparator" w:id="0">
    <w:p w:rsidR="00A42D72" w:rsidRDefault="00A42D72" w:rsidP="0040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33" w:rsidRDefault="00E737B7" w:rsidP="000B6669">
    <w:pPr>
      <w:pStyle w:val="a3"/>
      <w:jc w:val="center"/>
    </w:pPr>
    <w:r w:rsidRPr="000B6669">
      <w:rPr>
        <w:rFonts w:ascii="Times New Roman" w:hAnsi="Times New Roman"/>
      </w:rPr>
      <w:fldChar w:fldCharType="begin"/>
    </w:r>
    <w:r w:rsidR="00096A69" w:rsidRPr="000B6669">
      <w:rPr>
        <w:rFonts w:ascii="Times New Roman" w:hAnsi="Times New Roman"/>
      </w:rPr>
      <w:instrText xml:space="preserve"> PAGE   \* MERGEFORMAT </w:instrText>
    </w:r>
    <w:r w:rsidRPr="000B6669">
      <w:rPr>
        <w:rFonts w:ascii="Times New Roman" w:hAnsi="Times New Roman"/>
      </w:rPr>
      <w:fldChar w:fldCharType="separate"/>
    </w:r>
    <w:r w:rsidR="001641B7">
      <w:rPr>
        <w:rFonts w:ascii="Times New Roman" w:hAnsi="Times New Roman"/>
        <w:noProof/>
      </w:rPr>
      <w:t>5</w:t>
    </w:r>
    <w:r w:rsidRPr="000B666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9"/>
    <w:rsid w:val="00017C18"/>
    <w:rsid w:val="00096A69"/>
    <w:rsid w:val="000A2243"/>
    <w:rsid w:val="000A618D"/>
    <w:rsid w:val="000B723B"/>
    <w:rsid w:val="001226CD"/>
    <w:rsid w:val="00133BD8"/>
    <w:rsid w:val="00142EA4"/>
    <w:rsid w:val="001641B7"/>
    <w:rsid w:val="00167F3B"/>
    <w:rsid w:val="00180D08"/>
    <w:rsid w:val="00182292"/>
    <w:rsid w:val="001A2FBB"/>
    <w:rsid w:val="001C7504"/>
    <w:rsid w:val="002265B5"/>
    <w:rsid w:val="00275B8D"/>
    <w:rsid w:val="002A361D"/>
    <w:rsid w:val="002A7AAD"/>
    <w:rsid w:val="002C1C30"/>
    <w:rsid w:val="002D5CDA"/>
    <w:rsid w:val="002E3A40"/>
    <w:rsid w:val="00323897"/>
    <w:rsid w:val="003767B7"/>
    <w:rsid w:val="003F0D76"/>
    <w:rsid w:val="004074F0"/>
    <w:rsid w:val="00423A2F"/>
    <w:rsid w:val="004E5483"/>
    <w:rsid w:val="005206E6"/>
    <w:rsid w:val="00536A89"/>
    <w:rsid w:val="005D0D2D"/>
    <w:rsid w:val="00606EC0"/>
    <w:rsid w:val="00633310"/>
    <w:rsid w:val="006345C3"/>
    <w:rsid w:val="00635A48"/>
    <w:rsid w:val="006478EE"/>
    <w:rsid w:val="00651236"/>
    <w:rsid w:val="00663706"/>
    <w:rsid w:val="006773DD"/>
    <w:rsid w:val="00687F79"/>
    <w:rsid w:val="006C2ABA"/>
    <w:rsid w:val="007067A1"/>
    <w:rsid w:val="00726A0E"/>
    <w:rsid w:val="00740794"/>
    <w:rsid w:val="0075760D"/>
    <w:rsid w:val="00782334"/>
    <w:rsid w:val="007F234D"/>
    <w:rsid w:val="00810144"/>
    <w:rsid w:val="00870F29"/>
    <w:rsid w:val="00901583"/>
    <w:rsid w:val="0095358B"/>
    <w:rsid w:val="009C6F99"/>
    <w:rsid w:val="00A211D4"/>
    <w:rsid w:val="00A342B6"/>
    <w:rsid w:val="00A42D72"/>
    <w:rsid w:val="00AA7A20"/>
    <w:rsid w:val="00AB2535"/>
    <w:rsid w:val="00AC2182"/>
    <w:rsid w:val="00AE6BFB"/>
    <w:rsid w:val="00B42C96"/>
    <w:rsid w:val="00B540C7"/>
    <w:rsid w:val="00B77DA6"/>
    <w:rsid w:val="00B84DA3"/>
    <w:rsid w:val="00BF74FF"/>
    <w:rsid w:val="00C21685"/>
    <w:rsid w:val="00C26C05"/>
    <w:rsid w:val="00C34CB7"/>
    <w:rsid w:val="00C7516B"/>
    <w:rsid w:val="00CA1044"/>
    <w:rsid w:val="00CE7E43"/>
    <w:rsid w:val="00D02F44"/>
    <w:rsid w:val="00D4128C"/>
    <w:rsid w:val="00D7425A"/>
    <w:rsid w:val="00D839DE"/>
    <w:rsid w:val="00D9375C"/>
    <w:rsid w:val="00DE7F3C"/>
    <w:rsid w:val="00DF36CB"/>
    <w:rsid w:val="00E0730B"/>
    <w:rsid w:val="00E11F9B"/>
    <w:rsid w:val="00E151F3"/>
    <w:rsid w:val="00E737B7"/>
    <w:rsid w:val="00E80DEC"/>
    <w:rsid w:val="00E91FEA"/>
    <w:rsid w:val="00EC0AF0"/>
    <w:rsid w:val="00ED4FAF"/>
    <w:rsid w:val="00F161BA"/>
    <w:rsid w:val="00F301A2"/>
    <w:rsid w:val="00F317DE"/>
    <w:rsid w:val="00F55C99"/>
    <w:rsid w:val="00F63381"/>
    <w:rsid w:val="00F654B2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A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C30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2C1C3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2C1C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C1C30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C1C3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table" w:styleId="a9">
    <w:name w:val="Table Grid"/>
    <w:basedOn w:val="a1"/>
    <w:uiPriority w:val="59"/>
    <w:rsid w:val="002D5C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A40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47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A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C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C30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2C1C3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2C1C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C1C30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C1C3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table" w:styleId="a9">
    <w:name w:val="Table Grid"/>
    <w:basedOn w:val="a1"/>
    <w:uiPriority w:val="59"/>
    <w:rsid w:val="002D5C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A40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47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szn01.eps74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szn01.eps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zn01.eps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Almaeva</dc:creator>
  <cp:lastModifiedBy>Юрист</cp:lastModifiedBy>
  <cp:revision>2</cp:revision>
  <cp:lastPrinted>2023-12-05T10:02:00Z</cp:lastPrinted>
  <dcterms:created xsi:type="dcterms:W3CDTF">2024-07-03T09:39:00Z</dcterms:created>
  <dcterms:modified xsi:type="dcterms:W3CDTF">2024-07-03T09:39:00Z</dcterms:modified>
</cp:coreProperties>
</file>